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Pr>
        <w:drawing>
          <wp:inline distB="114300" distT="114300" distL="114300" distR="114300">
            <wp:extent cx="5731200" cy="1892300"/>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31200" cy="1892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3 claves para mantener tus encías saludables</w:t>
      </w:r>
    </w:p>
    <w:p w:rsidR="00000000" w:rsidDel="00000000" w:rsidP="00000000" w:rsidRDefault="00000000" w:rsidRPr="00000000" w14:paraId="00000003">
      <w:pPr>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04">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w:t>
      </w:r>
      <w:r w:rsidDel="00000000" w:rsidR="00000000" w:rsidRPr="00000000">
        <w:rPr>
          <w:rFonts w:ascii="Montserrat" w:cs="Montserrat" w:eastAsia="Montserrat" w:hAnsi="Montserrat"/>
          <w:b w:val="1"/>
          <w:sz w:val="20"/>
          <w:szCs w:val="20"/>
          <w:rtl w:val="0"/>
        </w:rPr>
        <w:t xml:space="preserve">06 de febrero de 2025.-</w:t>
      </w:r>
      <w:r w:rsidDel="00000000" w:rsidR="00000000" w:rsidRPr="00000000">
        <w:rPr>
          <w:rFonts w:ascii="Montserrat" w:cs="Montserrat" w:eastAsia="Montserrat" w:hAnsi="Montserrat"/>
          <w:rtl w:val="0"/>
        </w:rPr>
        <w:t xml:space="preserve">  La salud bucal va mucho más allá de tener una sonrisa blanca. Enfermedades como la gingivitis y la periodontitis, si no se tratan a tiempo, pueden llevar a problemas serios, incluso a la pérdida de dientes. Afortunadamente, con una rutina adecuada y herramientas avanzadas, podemos prevenir y tratar estos problemas de manera efectiva. Aquí te damos 3 claves para mantener tus encías saludables y evitar complicaciones a largo plazo.</w:t>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numPr>
          <w:ilvl w:val="0"/>
          <w:numId w:val="1"/>
        </w:numPr>
        <w:spacing w:after="0" w:afterAutospacing="0" w:before="240"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Cepillado y limpieza bucal 360°: </w:t>
      </w:r>
      <w:r w:rsidDel="00000000" w:rsidR="00000000" w:rsidRPr="00000000">
        <w:rPr>
          <w:rFonts w:ascii="Montserrat" w:cs="Montserrat" w:eastAsia="Montserrat" w:hAnsi="Montserrat"/>
          <w:rtl w:val="0"/>
        </w:rPr>
        <w:t xml:space="preserve">El cepillado es fundamental, pero una higiene bucal completa incluye la limpieza de las encías. El uso de un buen cepillo dental y la aplicación de técnicas correctas, como cepillar suavemente las encías, son esenciales para prevenir la inflamación. Además, es importante no olvidar áreas como los espacios entre los dientes, donde se acumulan bacterias que pueden causar problemas en las encías.</w:t>
      </w:r>
    </w:p>
    <w:p w:rsidR="00000000" w:rsidDel="00000000" w:rsidP="00000000" w:rsidRDefault="00000000" w:rsidRPr="00000000" w14:paraId="00000007">
      <w:pPr>
        <w:numPr>
          <w:ilvl w:val="0"/>
          <w:numId w:val="1"/>
        </w:numPr>
        <w:spacing w:after="240" w:before="0" w:beforeAutospacing="0"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La eficacia de los irrigadores bucales: </w:t>
      </w:r>
      <w:r w:rsidDel="00000000" w:rsidR="00000000" w:rsidRPr="00000000">
        <w:rPr>
          <w:rFonts w:ascii="Montserrat" w:cs="Montserrat" w:eastAsia="Montserrat" w:hAnsi="Montserrat"/>
          <w:rtl w:val="0"/>
        </w:rPr>
        <w:t xml:space="preserve"> Aunque el hilo dental es un aliado clásico para mantener las encías saludables, no siempre llega a todas las áreas de la boca de manera eficiente, además de que muchas personas no saben cómo hacer un uso correcto de esta herramienta. La tecnología ha avanzado y los irrigadores bucales ofrecen una solución más profunda al eliminar hasta el 99.9% de las bacterias, ayudando a reducir la placa y la inflamación en las encías en tan solo 1 minuto. Estos dispositivos están diseñados para mejorar la salud de las encías, reduciendo la inflamación y evitando el deterioro de los tejidos bucales, garantizando una protección superior a largo plazo.</w:t>
      </w:r>
    </w:p>
    <w:p w:rsidR="00000000" w:rsidDel="00000000" w:rsidP="00000000" w:rsidRDefault="00000000" w:rsidRPr="00000000" w14:paraId="00000008">
      <w:pPr>
        <w:spacing w:after="240" w:before="240"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5243513" cy="4416048"/>
            <wp:effectExtent b="0" l="0" r="0" t="0"/>
            <wp:docPr id="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243513" cy="4416048"/>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numPr>
          <w:ilvl w:val="0"/>
          <w:numId w:val="1"/>
        </w:numPr>
        <w:spacing w:after="240" w:before="240"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La prevención es clave: </w:t>
      </w:r>
      <w:r w:rsidDel="00000000" w:rsidR="00000000" w:rsidRPr="00000000">
        <w:rPr>
          <w:rFonts w:ascii="Montserrat" w:cs="Montserrat" w:eastAsia="Montserrat" w:hAnsi="Montserrat"/>
          <w:rtl w:val="0"/>
        </w:rPr>
        <w:t xml:space="preserve">La gingivitis y la periodontitis comienzan con señales sutiles, como encías inflamadas, sangrado o mal aliento. Si detectas estos síntomas, es crucial actuar rápidamente. La prevención incluye una rutina diaria que combine cepillado, uso de irrigadores bucales y visitas regulares al dentista. Cuanto antes se detecten estos problemas, más fácil será tratarlos.</w:t>
      </w:r>
    </w:p>
    <w:p w:rsidR="00000000" w:rsidDel="00000000" w:rsidP="00000000" w:rsidRDefault="00000000" w:rsidRPr="00000000" w14:paraId="0000000A">
      <w:pPr>
        <w:spacing w:after="240" w:before="240" w:lineRule="auto"/>
        <w:ind w:left="0" w:firstLine="0"/>
        <w:jc w:val="both"/>
        <w:rPr>
          <w:rFonts w:ascii="Montserrat" w:cs="Montserrat" w:eastAsia="Montserrat" w:hAnsi="Montserrat"/>
        </w:rPr>
      </w:pPr>
      <w:r w:rsidDel="00000000" w:rsidR="00000000" w:rsidRPr="00000000">
        <w:rPr>
          <w:rFonts w:ascii="Montserrat" w:cs="Montserrat" w:eastAsia="Montserrat" w:hAnsi="Montserrat"/>
          <w:rtl w:val="0"/>
        </w:rPr>
        <w:t xml:space="preserve">Con una rutina completa que incluya el uso de herramientas especializadas, como un irrigador bucal, puedes mantener tus encías saludables y prevenir enfermedades bucales. Estas soluciones avanzadas son fundamentales para quienes buscan un cuidado bucal más efectivo y profesional. Si deseas llevar tu higiene bucal al siguiente nivel, las opciones disponibles en el mercado te ofrecen una limpieza más profunda y resultados visibles desde el primer uso.</w:t>
      </w:r>
      <w:r w:rsidDel="00000000" w:rsidR="00000000" w:rsidRPr="00000000">
        <w:rPr>
          <w:rtl w:val="0"/>
        </w:rPr>
      </w:r>
    </w:p>
    <w:p w:rsidR="00000000" w:rsidDel="00000000" w:rsidP="00000000" w:rsidRDefault="00000000" w:rsidRPr="00000000" w14:paraId="0000000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_______</w:t>
      </w:r>
    </w:p>
    <w:p w:rsidR="00000000" w:rsidDel="00000000" w:rsidP="00000000" w:rsidRDefault="00000000" w:rsidRPr="00000000" w14:paraId="0000000D">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u w:val="single"/>
          <w:rtl w:val="0"/>
        </w:rPr>
        <w:t xml:space="preserve"> </w:t>
      </w:r>
      <w:r w:rsidDel="00000000" w:rsidR="00000000" w:rsidRPr="00000000">
        <w:rPr>
          <w:rtl w:val="0"/>
        </w:rPr>
      </w:r>
    </w:p>
    <w:p w:rsidR="00000000" w:rsidDel="00000000" w:rsidP="00000000" w:rsidRDefault="00000000" w:rsidRPr="00000000" w14:paraId="0000000E">
      <w:pPr>
        <w:widowControl w:val="0"/>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Contactos de Prensa</w:t>
      </w:r>
    </w:p>
    <w:p w:rsidR="00000000" w:rsidDel="00000000" w:rsidP="00000000" w:rsidRDefault="00000000" w:rsidRPr="00000000" w14:paraId="0000000F">
      <w:pPr>
        <w:widowControl w:val="0"/>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0">
      <w:pPr>
        <w:widowControl w:val="0"/>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Sharon Cano</w:t>
      </w:r>
    </w:p>
    <w:p w:rsidR="00000000" w:rsidDel="00000000" w:rsidP="00000000" w:rsidRDefault="00000000" w:rsidRPr="00000000" w14:paraId="00000011">
      <w:pPr>
        <w:widowControl w:val="0"/>
        <w:spacing w:line="276" w:lineRule="auto"/>
        <w:jc w:val="both"/>
        <w:rPr>
          <w:rFonts w:ascii="Montserrat" w:cs="Montserrat" w:eastAsia="Montserrat" w:hAnsi="Montserrat"/>
          <w:sz w:val="20"/>
          <w:szCs w:val="20"/>
        </w:rPr>
      </w:pPr>
      <w:hyperlink r:id="rId8">
        <w:r w:rsidDel="00000000" w:rsidR="00000000" w:rsidRPr="00000000">
          <w:rPr>
            <w:rFonts w:ascii="Montserrat" w:cs="Montserrat" w:eastAsia="Montserrat" w:hAnsi="Montserrat"/>
            <w:color w:val="1155cc"/>
            <w:sz w:val="20"/>
            <w:szCs w:val="20"/>
            <w:u w:val="single"/>
            <w:rtl w:val="0"/>
          </w:rPr>
          <w:t xml:space="preserve">scano@bandofinsiders.com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2">
      <w:pPr>
        <w:widowControl w:val="0"/>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55 1812 1582</w:t>
      </w:r>
    </w:p>
    <w:p w:rsidR="00000000" w:rsidDel="00000000" w:rsidP="00000000" w:rsidRDefault="00000000" w:rsidRPr="00000000" w14:paraId="00000013">
      <w:pPr>
        <w:widowControl w:val="0"/>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4">
      <w:pPr>
        <w:widowControl w:val="0"/>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Regina Páez </w:t>
      </w:r>
    </w:p>
    <w:p w:rsidR="00000000" w:rsidDel="00000000" w:rsidP="00000000" w:rsidRDefault="00000000" w:rsidRPr="00000000" w14:paraId="00000015">
      <w:pPr>
        <w:widowControl w:val="0"/>
        <w:spacing w:line="276" w:lineRule="auto"/>
        <w:jc w:val="both"/>
        <w:rPr>
          <w:rFonts w:ascii="Montserrat" w:cs="Montserrat" w:eastAsia="Montserrat" w:hAnsi="Montserrat"/>
          <w:sz w:val="20"/>
          <w:szCs w:val="20"/>
        </w:rPr>
      </w:pPr>
      <w:hyperlink r:id="rId9">
        <w:r w:rsidDel="00000000" w:rsidR="00000000" w:rsidRPr="00000000">
          <w:rPr>
            <w:rFonts w:ascii="Montserrat" w:cs="Montserrat" w:eastAsia="Montserrat" w:hAnsi="Montserrat"/>
            <w:color w:val="1155cc"/>
            <w:sz w:val="20"/>
            <w:szCs w:val="20"/>
            <w:u w:val="single"/>
            <w:rtl w:val="0"/>
          </w:rPr>
          <w:t xml:space="preserve">rpaez@bandofinsiders.com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6">
      <w:pPr>
        <w:widowControl w:val="0"/>
        <w:spacing w:line="276" w:lineRule="auto"/>
        <w:jc w:val="both"/>
        <w:rPr>
          <w:rFonts w:ascii="Montserrat" w:cs="Montserrat" w:eastAsia="Montserrat" w:hAnsi="Montserrat"/>
        </w:rPr>
      </w:pPr>
      <w:r w:rsidDel="00000000" w:rsidR="00000000" w:rsidRPr="00000000">
        <w:rPr>
          <w:rFonts w:ascii="Montserrat" w:cs="Montserrat" w:eastAsia="Montserrat" w:hAnsi="Montserrat"/>
          <w:sz w:val="20"/>
          <w:szCs w:val="20"/>
          <w:rtl w:val="0"/>
        </w:rPr>
        <w:t xml:space="preserve">55 2323 8283</w:t>
      </w:r>
      <w:r w:rsidDel="00000000" w:rsidR="00000000" w:rsidRPr="00000000">
        <w:rPr>
          <w:rtl w:val="0"/>
        </w:rPr>
      </w:r>
    </w:p>
    <w:sectPr>
      <w:headerReference r:id="rId1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7">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1789275</wp:posOffset>
          </wp:positionH>
          <wp:positionV relativeFrom="paragraph">
            <wp:posOffset>-257174</wp:posOffset>
          </wp:positionV>
          <wp:extent cx="2147888" cy="717152"/>
          <wp:effectExtent b="0" l="0" r="0" t="0"/>
          <wp:wrapTopAndBottom distB="114300" distT="114300"/>
          <wp:docPr id="3" name="image2.png"/>
          <a:graphic>
            <a:graphicData uri="http://schemas.openxmlformats.org/drawingml/2006/picture">
              <pic:pic>
                <pic:nvPicPr>
                  <pic:cNvPr id="0" name="image2.png"/>
                  <pic:cNvPicPr preferRelativeResize="0"/>
                </pic:nvPicPr>
                <pic:blipFill>
                  <a:blip r:embed="rId1"/>
                  <a:srcRect b="33777" l="0" r="0" t="32778"/>
                  <a:stretch>
                    <a:fillRect/>
                  </a:stretch>
                </pic:blipFill>
                <pic:spPr>
                  <a:xfrm>
                    <a:off x="0" y="0"/>
                    <a:ext cx="2147888" cy="717152"/>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hyperlink" Target="mailto:rpaez@bandofinsiders.com"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png"/><Relationship Id="rId8" Type="http://schemas.openxmlformats.org/officeDocument/2006/relationships/hyperlink" Target="mailto:scano@bandofinsiders.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